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7C" w:rsidRPr="002A287C" w:rsidRDefault="002A287C" w:rsidP="002A287C">
      <w:pPr>
        <w:widowControl/>
        <w:shd w:val="clear" w:color="auto" w:fill="FFFFFF"/>
        <w:spacing w:before="750" w:after="750"/>
        <w:ind w:left="1050" w:right="1050"/>
        <w:jc w:val="center"/>
        <w:outlineLvl w:val="2"/>
        <w:rPr>
          <w:rFonts w:ascii="微软雅黑" w:eastAsia="微软雅黑" w:hAnsi="微软雅黑" w:cs="宋体"/>
          <w:color w:val="B90000"/>
          <w:kern w:val="0"/>
          <w:sz w:val="45"/>
          <w:szCs w:val="45"/>
        </w:rPr>
      </w:pPr>
      <w:r w:rsidRPr="002A287C">
        <w:rPr>
          <w:rFonts w:ascii="微软雅黑" w:eastAsia="微软雅黑" w:hAnsi="微软雅黑" w:cs="宋体" w:hint="eastAsia"/>
          <w:color w:val="B90000"/>
          <w:kern w:val="0"/>
          <w:sz w:val="45"/>
          <w:szCs w:val="45"/>
        </w:rPr>
        <w:t>平山区农发局2019年部门预算</w:t>
      </w:r>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r w:rsidRPr="002A287C">
        <w:rPr>
          <w:rFonts w:ascii="宋体" w:eastAsia="宋体" w:hAnsi="宋体" w:cs="宋体" w:hint="eastAsia"/>
          <w:b/>
          <w:bCs/>
          <w:color w:val="333333"/>
          <w:kern w:val="0"/>
          <w:sz w:val="44"/>
        </w:rPr>
        <w:t>目</w:t>
      </w:r>
      <w:r w:rsidRPr="002A287C">
        <w:rPr>
          <w:rFonts w:ascii="微软雅黑" w:eastAsia="微软雅黑" w:hAnsi="微软雅黑" w:cs="宋体" w:hint="eastAsia"/>
          <w:b/>
          <w:bCs/>
          <w:color w:val="333333"/>
          <w:kern w:val="0"/>
          <w:sz w:val="44"/>
        </w:rPr>
        <w:t>    </w:t>
      </w:r>
      <w:r w:rsidRPr="002A287C">
        <w:rPr>
          <w:rFonts w:ascii="宋体" w:eastAsia="宋体" w:hAnsi="宋体" w:cs="宋体" w:hint="eastAsia"/>
          <w:b/>
          <w:bCs/>
          <w:color w:val="333333"/>
          <w:kern w:val="0"/>
          <w:sz w:val="44"/>
        </w:rPr>
        <w:t>录</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微软雅黑" w:eastAsia="微软雅黑" w:hAnsi="微软雅黑" w:cs="宋体" w:hint="eastAsia"/>
          <w:b/>
          <w:bCs/>
          <w:color w:val="333333"/>
          <w:kern w:val="0"/>
          <w:sz w:val="44"/>
          <w:u w:val="single"/>
        </w:rPr>
        <w:t> </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黑体" w:eastAsia="黑体" w:hAnsi="黑体" w:cs="宋体" w:hint="eastAsia"/>
          <w:color w:val="333333"/>
          <w:kern w:val="0"/>
          <w:sz w:val="32"/>
          <w:szCs w:val="32"/>
        </w:rPr>
        <w:t>第一部分</w:t>
      </w:r>
      <w:r w:rsidRPr="002A287C">
        <w:rPr>
          <w:rFonts w:ascii="宋体" w:eastAsia="宋体" w:hAnsi="宋体" w:cs="宋体" w:hint="eastAsia"/>
          <w:color w:val="333333"/>
          <w:kern w:val="0"/>
          <w:sz w:val="32"/>
          <w:szCs w:val="32"/>
        </w:rPr>
        <w:t>  </w:t>
      </w:r>
      <w:r w:rsidRPr="002A287C">
        <w:rPr>
          <w:rFonts w:ascii="黑体" w:eastAsia="黑体" w:hAnsi="黑体" w:cs="黑体" w:hint="eastAsia"/>
          <w:color w:val="333333"/>
          <w:kern w:val="0"/>
          <w:sz w:val="32"/>
          <w:szCs w:val="32"/>
        </w:rPr>
        <w:t xml:space="preserve"> </w:t>
      </w:r>
      <w:r w:rsidRPr="002A287C">
        <w:rPr>
          <w:rFonts w:ascii="黑体" w:eastAsia="黑体" w:hAnsi="黑体" w:cs="宋体" w:hint="eastAsia"/>
          <w:color w:val="333333"/>
          <w:kern w:val="0"/>
          <w:sz w:val="32"/>
          <w:szCs w:val="32"/>
        </w:rPr>
        <w:t>平山区农发局概况</w:t>
      </w:r>
    </w:p>
    <w:p w:rsidR="002A287C" w:rsidRPr="002A287C" w:rsidRDefault="002A287C" w:rsidP="002A287C">
      <w:pPr>
        <w:widowControl/>
        <w:shd w:val="clear" w:color="auto" w:fill="FFFFFF"/>
        <w:spacing w:line="480" w:lineRule="auto"/>
        <w:ind w:left="720"/>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一、</w:t>
      </w:r>
      <w:r w:rsidRPr="002A287C">
        <w:rPr>
          <w:rFonts w:ascii="仿宋_GB2312" w:eastAsia="仿宋_GB2312" w:hAnsi="微软雅黑" w:cs="宋体" w:hint="eastAsia"/>
          <w:color w:val="333333"/>
          <w:kern w:val="0"/>
          <w:sz w:val="32"/>
        </w:rPr>
        <w:t> </w:t>
      </w:r>
      <w:r w:rsidRPr="002A287C">
        <w:rPr>
          <w:rFonts w:ascii="仿宋_GB2312" w:eastAsia="仿宋_GB2312" w:hAnsi="微软雅黑" w:cs="宋体" w:hint="eastAsia"/>
          <w:color w:val="333333"/>
          <w:kern w:val="0"/>
          <w:sz w:val="32"/>
          <w:szCs w:val="32"/>
        </w:rPr>
        <w:t>主要职责</w:t>
      </w:r>
    </w:p>
    <w:p w:rsidR="002A287C" w:rsidRPr="002A287C" w:rsidRDefault="002A287C" w:rsidP="002A287C">
      <w:pPr>
        <w:widowControl/>
        <w:shd w:val="clear" w:color="auto" w:fill="FFFFFF"/>
        <w:spacing w:line="480" w:lineRule="auto"/>
        <w:ind w:left="720"/>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二、</w:t>
      </w:r>
      <w:r w:rsidRPr="002A287C">
        <w:rPr>
          <w:rFonts w:ascii="仿宋_GB2312" w:eastAsia="仿宋_GB2312" w:hAnsi="微软雅黑" w:cs="宋体" w:hint="eastAsia"/>
          <w:color w:val="333333"/>
          <w:kern w:val="0"/>
          <w:sz w:val="32"/>
        </w:rPr>
        <w:t> </w:t>
      </w:r>
      <w:r w:rsidRPr="002A287C">
        <w:rPr>
          <w:rFonts w:ascii="仿宋_GB2312" w:eastAsia="仿宋_GB2312" w:hAnsi="微软雅黑" w:cs="宋体" w:hint="eastAsia"/>
          <w:color w:val="333333"/>
          <w:kern w:val="0"/>
          <w:sz w:val="32"/>
          <w:szCs w:val="32"/>
        </w:rPr>
        <w:t>部门预算单位构成</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黑体" w:eastAsia="黑体" w:hAnsi="黑体" w:cs="宋体" w:hint="eastAsia"/>
          <w:color w:val="333333"/>
          <w:kern w:val="0"/>
          <w:sz w:val="32"/>
          <w:szCs w:val="32"/>
        </w:rPr>
        <w:t>第二部分</w:t>
      </w:r>
      <w:r w:rsidRPr="002A287C">
        <w:rPr>
          <w:rFonts w:ascii="宋体" w:eastAsia="宋体" w:hAnsi="宋体" w:cs="宋体" w:hint="eastAsia"/>
          <w:color w:val="333333"/>
          <w:kern w:val="0"/>
          <w:sz w:val="32"/>
          <w:szCs w:val="32"/>
        </w:rPr>
        <w:t>  </w:t>
      </w:r>
      <w:r w:rsidRPr="002A287C">
        <w:rPr>
          <w:rFonts w:ascii="黑体" w:eastAsia="黑体" w:hAnsi="黑体" w:cs="黑体" w:hint="eastAsia"/>
          <w:color w:val="333333"/>
          <w:kern w:val="0"/>
          <w:sz w:val="32"/>
          <w:szCs w:val="32"/>
        </w:rPr>
        <w:t xml:space="preserve"> </w:t>
      </w:r>
      <w:r w:rsidRPr="002A287C">
        <w:rPr>
          <w:rFonts w:ascii="黑体" w:eastAsia="黑体" w:hAnsi="黑体" w:cs="宋体" w:hint="eastAsia"/>
          <w:color w:val="333333"/>
          <w:kern w:val="0"/>
          <w:sz w:val="32"/>
          <w:szCs w:val="32"/>
        </w:rPr>
        <w:t>平山区农发局2019年部门预算表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一、财政拨款收支预算总表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二、一般公共预算支出表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三、一般公共预算基本支出表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四、一般公共预算“三公”经费支出表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五、政府性基金预算支出表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六、部门收支预算总表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七、部门收入预算总表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八、部门支出预算总表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九、政府采购预算表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十、政府预算经济分类支出预算表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十一、“三公”经费预算汇总表</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黑体" w:eastAsia="黑体" w:hAnsi="黑体" w:cs="宋体" w:hint="eastAsia"/>
          <w:color w:val="333333"/>
          <w:kern w:val="0"/>
          <w:sz w:val="32"/>
          <w:szCs w:val="32"/>
        </w:rPr>
        <w:lastRenderedPageBreak/>
        <w:t>第三部分</w:t>
      </w:r>
      <w:r w:rsidRPr="002A287C">
        <w:rPr>
          <w:rFonts w:ascii="宋体" w:eastAsia="宋体" w:hAnsi="宋体" w:cs="宋体" w:hint="eastAsia"/>
          <w:color w:val="333333"/>
          <w:kern w:val="0"/>
          <w:sz w:val="32"/>
          <w:szCs w:val="32"/>
        </w:rPr>
        <w:t>  </w:t>
      </w:r>
      <w:r w:rsidRPr="002A287C">
        <w:rPr>
          <w:rFonts w:ascii="黑体" w:eastAsia="黑体" w:hAnsi="黑体" w:cs="黑体" w:hint="eastAsia"/>
          <w:color w:val="333333"/>
          <w:kern w:val="0"/>
          <w:sz w:val="32"/>
          <w:szCs w:val="32"/>
        </w:rPr>
        <w:t xml:space="preserve"> </w:t>
      </w:r>
      <w:r w:rsidRPr="002A287C">
        <w:rPr>
          <w:rFonts w:ascii="黑体" w:eastAsia="黑体" w:hAnsi="黑体" w:cs="宋体" w:hint="eastAsia"/>
          <w:color w:val="333333"/>
          <w:kern w:val="0"/>
          <w:sz w:val="32"/>
          <w:szCs w:val="32"/>
        </w:rPr>
        <w:t>平山区农发局2019年部门预算情况说明</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黑体" w:eastAsia="黑体" w:hAnsi="黑体" w:cs="宋体" w:hint="eastAsia"/>
          <w:color w:val="333333"/>
          <w:kern w:val="0"/>
          <w:sz w:val="32"/>
          <w:szCs w:val="32"/>
        </w:rPr>
        <w:t>第四部分</w:t>
      </w:r>
      <w:r w:rsidRPr="002A287C">
        <w:rPr>
          <w:rFonts w:ascii="宋体" w:eastAsia="宋体" w:hAnsi="宋体" w:cs="宋体" w:hint="eastAsia"/>
          <w:color w:val="333333"/>
          <w:kern w:val="0"/>
          <w:sz w:val="32"/>
          <w:szCs w:val="32"/>
        </w:rPr>
        <w:t>  </w:t>
      </w:r>
      <w:r w:rsidRPr="002A287C">
        <w:rPr>
          <w:rFonts w:ascii="黑体" w:eastAsia="黑体" w:hAnsi="黑体" w:cs="黑体" w:hint="eastAsia"/>
          <w:color w:val="333333"/>
          <w:kern w:val="0"/>
          <w:sz w:val="32"/>
          <w:szCs w:val="32"/>
        </w:rPr>
        <w:t xml:space="preserve"> </w:t>
      </w:r>
      <w:r w:rsidRPr="002A287C">
        <w:rPr>
          <w:rFonts w:ascii="黑体" w:eastAsia="黑体" w:hAnsi="黑体" w:cs="宋体" w:hint="eastAsia"/>
          <w:color w:val="333333"/>
          <w:kern w:val="0"/>
          <w:sz w:val="32"/>
          <w:szCs w:val="32"/>
        </w:rPr>
        <w:t>名词解释</w:t>
      </w:r>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r w:rsidRPr="002A287C">
        <w:rPr>
          <w:rFonts w:ascii="宋体" w:eastAsia="宋体" w:hAnsi="宋体" w:cs="宋体" w:hint="eastAsia"/>
          <w:b/>
          <w:bCs/>
          <w:color w:val="333333"/>
          <w:kern w:val="0"/>
          <w:sz w:val="44"/>
          <w:u w:val="single"/>
        </w:rPr>
        <w:t> </w:t>
      </w:r>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r w:rsidRPr="002A287C">
        <w:rPr>
          <w:rFonts w:ascii="微软雅黑" w:eastAsia="微软雅黑" w:hAnsi="微软雅黑" w:cs="宋体" w:hint="eastAsia"/>
          <w:b/>
          <w:bCs/>
          <w:color w:val="333333"/>
          <w:kern w:val="0"/>
          <w:sz w:val="44"/>
          <w:u w:val="single"/>
        </w:rPr>
        <w:t> </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宋体" w:eastAsia="宋体" w:hAnsi="宋体" w:cs="宋体" w:hint="eastAsia"/>
          <w:color w:val="333333"/>
          <w:kern w:val="0"/>
          <w:sz w:val="32"/>
          <w:szCs w:val="32"/>
        </w:rPr>
        <w:t> </w:t>
      </w:r>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r w:rsidRPr="002A287C">
        <w:rPr>
          <w:rFonts w:ascii="宋体" w:eastAsia="宋体" w:hAnsi="宋体" w:cs="宋体" w:hint="eastAsia"/>
          <w:b/>
          <w:bCs/>
          <w:color w:val="333333"/>
          <w:kern w:val="0"/>
          <w:sz w:val="36"/>
        </w:rPr>
        <w:t>第一部分 平山区农发局概况</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一、主要职责</w:t>
      </w:r>
    </w:p>
    <w:p w:rsidR="002A287C" w:rsidRPr="002A287C" w:rsidRDefault="002A287C" w:rsidP="002A287C">
      <w:pPr>
        <w:widowControl/>
        <w:shd w:val="clear" w:color="auto" w:fill="FFFFFF"/>
        <w:spacing w:line="360" w:lineRule="atLeast"/>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1、贯彻国家、省、市有关“三农”工作的方针政策；拟订全区农业机械化等产业和农村经济中长期发展规划并指导实施；推进农业依法行政。</w:t>
      </w:r>
    </w:p>
    <w:p w:rsidR="002A287C" w:rsidRPr="002A287C" w:rsidRDefault="002A287C" w:rsidP="002A287C">
      <w:pPr>
        <w:widowControl/>
        <w:shd w:val="clear" w:color="auto" w:fill="FFFFFF"/>
        <w:spacing w:line="360" w:lineRule="atLeast"/>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2、承担完善我区农村经营管理体制的责任；指导农村土地承包、耕地使用权流转和承包纠纷仲裁管理，指导、监督减轻农民负担和村民筹资筹劳管理工作，指导农村集体资产和财务管理；拟订农业产业化经营的发展规划与具体政策并组织实施；指导、扶持农村合作经济组织、农民专业合作社和农产品行业协会的建设与发展；负责全区农业种植业保险工作；负责制定并实施全区扶贫开发规划；指导并监督减轻农民负担管理工作；负责扶贫开发项目审定和监督管理。</w:t>
      </w:r>
    </w:p>
    <w:p w:rsidR="002A287C" w:rsidRPr="002A287C" w:rsidRDefault="002A287C" w:rsidP="002A287C">
      <w:pPr>
        <w:widowControl/>
        <w:shd w:val="clear" w:color="auto" w:fill="FFFFFF"/>
        <w:spacing w:line="360" w:lineRule="atLeast"/>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3、指导全区农业产业化经营；培育、保护和发展农产品品牌。</w:t>
      </w:r>
    </w:p>
    <w:p w:rsidR="002A287C" w:rsidRPr="002A287C" w:rsidRDefault="002A287C" w:rsidP="002A287C">
      <w:pPr>
        <w:widowControl/>
        <w:shd w:val="clear" w:color="auto" w:fill="FFFFFF"/>
        <w:spacing w:line="360" w:lineRule="atLeast"/>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lastRenderedPageBreak/>
        <w:t>4、管理并发布农业和农村经济信息，监测分析农业和农村经济运行，开展相关农业统计工作，负责农业信息体系建设，指导农业信息服务；承担农业劳动模范管理工作。</w:t>
      </w:r>
    </w:p>
    <w:p w:rsidR="002A287C" w:rsidRPr="002A287C" w:rsidRDefault="002A287C" w:rsidP="002A287C">
      <w:pPr>
        <w:widowControl/>
        <w:shd w:val="clear" w:color="auto" w:fill="FFFFFF"/>
        <w:spacing w:line="360" w:lineRule="atLeast"/>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5、贯彻执行国家农业机械方面的方针、政策、法律、法规；负责已投入使用的农业机械的质量监督和使用中安全管理及农机监理工作；负责农业机械统计等工作。</w:t>
      </w:r>
    </w:p>
    <w:p w:rsidR="002A287C" w:rsidRPr="002A287C" w:rsidRDefault="002A287C" w:rsidP="002A287C">
      <w:pPr>
        <w:widowControl/>
        <w:shd w:val="clear" w:color="auto" w:fill="FFFFFF"/>
        <w:spacing w:line="360" w:lineRule="atLeast"/>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6、县域经济工作；新农村建设综合协调。</w:t>
      </w:r>
    </w:p>
    <w:p w:rsidR="002A287C" w:rsidRPr="002A287C" w:rsidRDefault="002A287C" w:rsidP="002A287C">
      <w:pPr>
        <w:widowControl/>
        <w:shd w:val="clear" w:color="auto" w:fill="FFFFFF"/>
        <w:spacing w:line="360" w:lineRule="atLeast"/>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7、承办区委、区政府交办的其他事项。</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黑体" w:eastAsia="黑体" w:hAnsi="黑体" w:cs="宋体" w:hint="eastAsia"/>
          <w:color w:val="333333"/>
          <w:kern w:val="0"/>
          <w:sz w:val="32"/>
          <w:szCs w:val="32"/>
        </w:rPr>
        <w:t>二、部门预算单位构成</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纳入平山区农发局2019年部门预算编制范围预算单位包括：</w:t>
      </w:r>
    </w:p>
    <w:p w:rsidR="002A287C" w:rsidRPr="002A287C" w:rsidRDefault="002A287C" w:rsidP="002A287C">
      <w:pPr>
        <w:widowControl/>
        <w:shd w:val="clear" w:color="auto" w:fill="FFFFFF"/>
        <w:spacing w:line="480" w:lineRule="auto"/>
        <w:ind w:firstLine="960"/>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平山区农发局</w:t>
      </w:r>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r w:rsidRPr="002A287C">
        <w:rPr>
          <w:rFonts w:ascii="宋体" w:eastAsia="宋体" w:hAnsi="宋体" w:cs="宋体" w:hint="eastAsia"/>
          <w:b/>
          <w:bCs/>
          <w:color w:val="333333"/>
          <w:kern w:val="0"/>
          <w:sz w:val="36"/>
        </w:rPr>
        <w:t> </w:t>
      </w:r>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r w:rsidRPr="002A287C">
        <w:rPr>
          <w:rFonts w:ascii="宋体" w:eastAsia="宋体" w:hAnsi="宋体" w:cs="宋体" w:hint="eastAsia"/>
          <w:b/>
          <w:bCs/>
          <w:color w:val="333333"/>
          <w:kern w:val="0"/>
          <w:sz w:val="36"/>
        </w:rPr>
        <w:t>第二部分 平山区农发局部门预算公开表</w:t>
      </w:r>
    </w:p>
    <w:p w:rsidR="002A287C" w:rsidRPr="002A287C" w:rsidRDefault="002A287C" w:rsidP="002A287C">
      <w:pPr>
        <w:widowControl/>
        <w:shd w:val="clear" w:color="auto" w:fill="FFFFFF"/>
        <w:spacing w:line="240" w:lineRule="atLeast"/>
        <w:jc w:val="left"/>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extent cx="152400" cy="152400"/>
            <wp:effectExtent l="19050" t="0" r="0" b="0"/>
            <wp:docPr id="1" name="图片 1" descr="http://www.pingshan.gov.cn/Content/_Common/Asset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ngshan.gov.cn/Content/_Common/Assets/UEditor/dialogs/attachment/fileTypeImages/icon_xls.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tooltip="2019年平山区农发局部门预算.xls" w:history="1">
        <w:r w:rsidRPr="002A287C">
          <w:rPr>
            <w:rFonts w:ascii="微软雅黑" w:eastAsia="微软雅黑" w:hAnsi="微软雅黑" w:cs="宋体" w:hint="eastAsia"/>
            <w:color w:val="0066CC"/>
            <w:kern w:val="0"/>
            <w:sz w:val="18"/>
          </w:rPr>
          <w:t>2019年平山区农发局部门预算.xls</w:t>
        </w:r>
      </w:hyperlink>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r w:rsidRPr="002A287C">
        <w:rPr>
          <w:rFonts w:ascii="宋体" w:eastAsia="宋体" w:hAnsi="宋体" w:cs="宋体" w:hint="eastAsia"/>
          <w:b/>
          <w:bCs/>
          <w:color w:val="333333"/>
          <w:kern w:val="0"/>
          <w:sz w:val="36"/>
        </w:rPr>
        <w:t>第三部分 平山区农发局2019年部门预算情况说明</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r w:rsidRPr="002A287C">
        <w:rPr>
          <w:rFonts w:ascii="宋体" w:eastAsia="宋体" w:hAnsi="宋体" w:cs="宋体" w:hint="eastAsia"/>
          <w:b/>
          <w:bCs/>
          <w:color w:val="333333"/>
          <w:kern w:val="0"/>
          <w:sz w:val="36"/>
        </w:rPr>
        <w:t> </w:t>
      </w:r>
    </w:p>
    <w:p w:rsidR="002A287C" w:rsidRPr="002A287C" w:rsidRDefault="002A287C" w:rsidP="002A287C">
      <w:pPr>
        <w:widowControl/>
        <w:shd w:val="clear" w:color="auto" w:fill="FFFFFF"/>
        <w:spacing w:line="480" w:lineRule="auto"/>
        <w:ind w:firstLine="630"/>
        <w:jc w:val="left"/>
        <w:rPr>
          <w:rFonts w:ascii="微软雅黑" w:eastAsia="微软雅黑" w:hAnsi="微软雅黑" w:cs="宋体" w:hint="eastAsia"/>
          <w:color w:val="333333"/>
          <w:kern w:val="0"/>
          <w:sz w:val="24"/>
          <w:szCs w:val="24"/>
        </w:rPr>
      </w:pPr>
      <w:r w:rsidRPr="002A287C">
        <w:rPr>
          <w:rFonts w:ascii="黑体" w:eastAsia="黑体" w:hAnsi="黑体" w:cs="宋体" w:hint="eastAsia"/>
          <w:color w:val="333333"/>
          <w:kern w:val="0"/>
          <w:sz w:val="32"/>
          <w:szCs w:val="32"/>
        </w:rPr>
        <w:t>一、关于平山区农发局2019年收支预算的总体说明</w:t>
      </w:r>
    </w:p>
    <w:p w:rsidR="002A287C" w:rsidRPr="002A287C" w:rsidRDefault="002A287C" w:rsidP="002A287C">
      <w:pPr>
        <w:widowControl/>
        <w:shd w:val="clear" w:color="auto" w:fill="FFFFFF"/>
        <w:spacing w:line="480" w:lineRule="auto"/>
        <w:ind w:firstLine="660"/>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按照综合预算的原则，平山区农发局所有收入和支出均纳入部门预算管理。收入包括：财政拨款收入、纳入预算管理的行政事业性收费等非税收入、其他收入；支出包括：一般公共服务支出、财政事务、社会保障和就业支出、医疗卫</w:t>
      </w:r>
      <w:r w:rsidRPr="002A287C">
        <w:rPr>
          <w:rFonts w:ascii="仿宋_GB2312" w:eastAsia="仿宋_GB2312" w:hAnsi="微软雅黑" w:cs="宋体" w:hint="eastAsia"/>
          <w:color w:val="333333"/>
          <w:kern w:val="0"/>
          <w:sz w:val="32"/>
          <w:szCs w:val="32"/>
        </w:rPr>
        <w:lastRenderedPageBreak/>
        <w:t>生与计划生育支出等。平山区农发局2019年收支总预算26.73万元。</w:t>
      </w:r>
    </w:p>
    <w:p w:rsidR="002A287C" w:rsidRPr="002A287C" w:rsidRDefault="002A287C" w:rsidP="002A287C">
      <w:pPr>
        <w:widowControl/>
        <w:shd w:val="clear" w:color="auto" w:fill="FFFFFF"/>
        <w:spacing w:line="480" w:lineRule="auto"/>
        <w:ind w:firstLine="660"/>
        <w:jc w:val="left"/>
        <w:rPr>
          <w:rFonts w:ascii="微软雅黑" w:eastAsia="微软雅黑" w:hAnsi="微软雅黑" w:cs="宋体" w:hint="eastAsia"/>
          <w:color w:val="333333"/>
          <w:kern w:val="0"/>
          <w:sz w:val="24"/>
          <w:szCs w:val="24"/>
        </w:rPr>
      </w:pPr>
      <w:r w:rsidRPr="002A287C">
        <w:rPr>
          <w:rFonts w:ascii="黑体" w:eastAsia="黑体" w:hAnsi="黑体" w:cs="宋体" w:hint="eastAsia"/>
          <w:color w:val="333333"/>
          <w:kern w:val="0"/>
          <w:sz w:val="32"/>
          <w:szCs w:val="32"/>
        </w:rPr>
        <w:t>二、关于平山区农发局2019年“三公”经费预算情况说明</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2019年“三公”经费预算数0.06万元。其中：公务接待费0.06万元，公务用车购置及运行费0万元。</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黑体" w:eastAsia="黑体" w:hAnsi="黑体" w:cs="宋体" w:hint="eastAsia"/>
          <w:color w:val="333333"/>
          <w:kern w:val="0"/>
          <w:sz w:val="32"/>
          <w:szCs w:val="32"/>
        </w:rPr>
        <w:t>三、关于平山区农发局2019年政府性基金预算支出情况</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平山区农发局2019年没有使用政府性基金预算拨款安排的支出。</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黑体" w:eastAsia="黑体" w:hAnsi="黑体" w:cs="宋体" w:hint="eastAsia"/>
          <w:color w:val="333333"/>
          <w:kern w:val="0"/>
          <w:sz w:val="32"/>
          <w:szCs w:val="32"/>
        </w:rPr>
        <w:t>四、其他重要事项的情况说明</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（一）机关运行经费安排情况</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2019年农发局机关运行经费预算为26.73万元。其中：工资福利支出20.16万元，商品和服务支出5.27万元，项目支出1.3万元。</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（二）政府采购支出情况</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2019年农发局政府采购支出总额0万元，其中：政府采购货物支出0万元，政府采购服务支出0万元，政府采购工程支出0万元。</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（三）国有资产占用情况</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t>农发局共有车辆0辆。</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color w:val="333333"/>
          <w:kern w:val="0"/>
          <w:sz w:val="32"/>
          <w:szCs w:val="32"/>
        </w:rPr>
        <w:lastRenderedPageBreak/>
        <w:t>2019年，本溪市平山区农发局计划纳入部门预算绩效目标管理的重点项目0个，涉及一般公共预算拨款0万元。</w:t>
      </w:r>
    </w:p>
    <w:p w:rsidR="002A287C" w:rsidRDefault="002A287C" w:rsidP="002A287C">
      <w:pPr>
        <w:spacing w:line="540" w:lineRule="exact"/>
        <w:ind w:firstLine="720"/>
        <w:rPr>
          <w:rFonts w:ascii="楷体_GB2312" w:eastAsia="楷体_GB2312" w:hAnsi="宋体" w:cs="Times New Roman"/>
          <w:b/>
          <w:sz w:val="32"/>
          <w:szCs w:val="32"/>
        </w:rPr>
      </w:pPr>
      <w:r w:rsidRPr="002A287C">
        <w:rPr>
          <w:rFonts w:ascii="宋体" w:eastAsia="宋体" w:hAnsi="宋体" w:cs="宋体" w:hint="eastAsia"/>
          <w:b/>
          <w:bCs/>
          <w:color w:val="333333"/>
          <w:kern w:val="0"/>
          <w:sz w:val="36"/>
        </w:rPr>
        <w:t> </w:t>
      </w:r>
      <w:r>
        <w:rPr>
          <w:rFonts w:ascii="楷体_GB2312" w:eastAsia="楷体_GB2312" w:hAnsi="宋体" w:cs="Times New Roman" w:hint="eastAsia"/>
          <w:b/>
          <w:sz w:val="32"/>
          <w:szCs w:val="32"/>
        </w:rPr>
        <w:t>（四）预算绩效管理工作开展情况</w:t>
      </w:r>
    </w:p>
    <w:p w:rsidR="002A287C" w:rsidRDefault="002A287C" w:rsidP="002A287C">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根据财政预算管理要求，我局组织对2018年度预算项目支出全面开展绩效自评，共涉及预算支出项目</w:t>
      </w:r>
      <w:r>
        <w:rPr>
          <w:rFonts w:ascii="仿宋_GB2312" w:eastAsia="仿宋_GB2312" w:hAnsi="黑体" w:cs="Times New Roman" w:hint="eastAsia"/>
          <w:sz w:val="32"/>
          <w:szCs w:val="32"/>
        </w:rPr>
        <w:t>5</w:t>
      </w:r>
      <w:r>
        <w:rPr>
          <w:rFonts w:ascii="仿宋_GB2312" w:eastAsia="仿宋_GB2312" w:hAnsi="宋体" w:cs="宋体" w:hint="eastAsia"/>
          <w:sz w:val="32"/>
          <w:szCs w:val="32"/>
        </w:rPr>
        <w:t>个，涉及资金</w:t>
      </w:r>
      <w:r>
        <w:rPr>
          <w:rFonts w:ascii="仿宋_GB2312" w:eastAsia="仿宋_GB2312" w:hAnsi="黑体" w:cs="Times New Roman" w:hint="eastAsia"/>
          <w:sz w:val="32"/>
          <w:szCs w:val="32"/>
        </w:rPr>
        <w:t>476.51</w:t>
      </w:r>
      <w:r>
        <w:rPr>
          <w:rFonts w:ascii="仿宋_GB2312" w:eastAsia="仿宋_GB2312" w:hAnsi="宋体" w:cs="宋体" w:hint="eastAsia"/>
          <w:sz w:val="32"/>
          <w:szCs w:val="32"/>
        </w:rPr>
        <w:t>万元，自评覆盖率（开展绩效自评的项目数/年初批复绩效目标的项目数）达到</w:t>
      </w:r>
      <w:r>
        <w:rPr>
          <w:rFonts w:ascii="仿宋_GB2312" w:eastAsia="仿宋_GB2312" w:hAnsi="黑体" w:cs="Times New Roman" w:hint="eastAsia"/>
          <w:sz w:val="32"/>
          <w:szCs w:val="32"/>
        </w:rPr>
        <w:t>100</w:t>
      </w:r>
      <w:r>
        <w:rPr>
          <w:rFonts w:ascii="仿宋_GB2312" w:eastAsia="仿宋_GB2312" w:hAnsi="宋体" w:cs="宋体" w:hint="eastAsia"/>
          <w:sz w:val="32"/>
          <w:szCs w:val="32"/>
        </w:rPr>
        <w:t>%，自评平均分（开展绩效自评的项目分数总和/开展绩效自评的项目数）</w:t>
      </w:r>
      <w:r>
        <w:rPr>
          <w:rFonts w:ascii="仿宋_GB2312" w:eastAsia="仿宋_GB2312" w:hAnsi="黑体" w:cs="Times New Roman" w:hint="eastAsia"/>
          <w:sz w:val="32"/>
          <w:szCs w:val="32"/>
        </w:rPr>
        <w:t>100</w:t>
      </w:r>
      <w:r>
        <w:rPr>
          <w:rFonts w:ascii="仿宋_GB2312" w:eastAsia="仿宋_GB2312" w:hAnsi="宋体" w:cs="宋体" w:hint="eastAsia"/>
          <w:sz w:val="32"/>
          <w:szCs w:val="32"/>
        </w:rPr>
        <w:t>分。</w:t>
      </w:r>
    </w:p>
    <w:p w:rsidR="002A287C" w:rsidRDefault="002A287C" w:rsidP="002A287C">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通过绩效自评发现预算项目管理主要存在以下问题：一是预算项目支出绩效管理工作的理念还需要进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rsidR="002A287C" w:rsidRPr="00C2758D" w:rsidRDefault="002A287C" w:rsidP="002A287C">
      <w:pPr>
        <w:widowControl/>
        <w:shd w:val="clear" w:color="auto" w:fill="FFFFFF"/>
        <w:spacing w:line="480" w:lineRule="auto"/>
        <w:ind w:firstLine="720"/>
        <w:jc w:val="left"/>
        <w:rPr>
          <w:rFonts w:ascii="微软雅黑" w:eastAsia="微软雅黑" w:hAnsi="微软雅黑" w:cs="宋体"/>
          <w:color w:val="333333"/>
          <w:kern w:val="0"/>
          <w:sz w:val="24"/>
          <w:szCs w:val="24"/>
        </w:rPr>
      </w:pPr>
      <w:r w:rsidRPr="00C2758D">
        <w:rPr>
          <w:rFonts w:ascii="宋体" w:eastAsia="宋体" w:hAnsi="宋体" w:cs="宋体" w:hint="eastAsia"/>
          <w:b/>
          <w:bCs/>
          <w:color w:val="333333"/>
          <w:kern w:val="0"/>
          <w:sz w:val="36"/>
        </w:rPr>
        <w:lastRenderedPageBreak/>
        <w:t> </w:t>
      </w:r>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r w:rsidRPr="002A287C">
        <w:rPr>
          <w:rFonts w:ascii="宋体" w:eastAsia="宋体" w:hAnsi="宋体" w:cs="宋体" w:hint="eastAsia"/>
          <w:b/>
          <w:bCs/>
          <w:color w:val="333333"/>
          <w:kern w:val="0"/>
          <w:sz w:val="36"/>
        </w:rPr>
        <w:t>第四部分 名词解释</w:t>
      </w:r>
    </w:p>
    <w:p w:rsidR="002A287C" w:rsidRPr="002A287C" w:rsidRDefault="002A287C" w:rsidP="002A287C">
      <w:pPr>
        <w:widowControl/>
        <w:shd w:val="clear" w:color="auto" w:fill="FFFFFF"/>
        <w:spacing w:line="480" w:lineRule="auto"/>
        <w:jc w:val="center"/>
        <w:rPr>
          <w:rFonts w:ascii="微软雅黑" w:eastAsia="微软雅黑" w:hAnsi="微软雅黑" w:cs="宋体" w:hint="eastAsia"/>
          <w:color w:val="333333"/>
          <w:kern w:val="0"/>
          <w:sz w:val="24"/>
          <w:szCs w:val="24"/>
        </w:rPr>
      </w:pPr>
      <w:r w:rsidRPr="002A287C">
        <w:rPr>
          <w:rFonts w:ascii="宋体" w:eastAsia="宋体" w:hAnsi="宋体" w:cs="宋体" w:hint="eastAsia"/>
          <w:color w:val="333333"/>
          <w:kern w:val="0"/>
          <w:sz w:val="36"/>
          <w:szCs w:val="36"/>
        </w:rPr>
        <w:t> </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b/>
          <w:bCs/>
          <w:color w:val="333333"/>
          <w:kern w:val="0"/>
          <w:sz w:val="32"/>
        </w:rPr>
        <w:t>1.财政拨款收入：</w:t>
      </w:r>
      <w:r w:rsidRPr="002A287C">
        <w:rPr>
          <w:rFonts w:ascii="仿宋_GB2312" w:eastAsia="仿宋_GB2312" w:hAnsi="微软雅黑" w:cs="宋体" w:hint="eastAsia"/>
          <w:color w:val="333333"/>
          <w:kern w:val="0"/>
          <w:sz w:val="32"/>
          <w:szCs w:val="32"/>
        </w:rPr>
        <w:t>指市级财政当年拨付的资金。</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b/>
          <w:bCs/>
          <w:color w:val="333333"/>
          <w:kern w:val="0"/>
          <w:sz w:val="32"/>
        </w:rPr>
        <w:t>2.基本支出：</w:t>
      </w:r>
      <w:r w:rsidRPr="002A287C">
        <w:rPr>
          <w:rFonts w:ascii="仿宋_GB2312" w:eastAsia="仿宋_GB2312" w:hAnsi="微软雅黑" w:cs="宋体" w:hint="eastAsia"/>
          <w:color w:val="333333"/>
          <w:kern w:val="0"/>
          <w:sz w:val="32"/>
          <w:szCs w:val="32"/>
        </w:rPr>
        <w:t>指保障机构正常运转、完成日常工作任务而发生的人员支出和公用支出。</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b/>
          <w:bCs/>
          <w:color w:val="333333"/>
          <w:kern w:val="0"/>
          <w:sz w:val="32"/>
        </w:rPr>
        <w:t>3.项目支出：</w:t>
      </w:r>
      <w:r w:rsidRPr="002A287C">
        <w:rPr>
          <w:rFonts w:ascii="仿宋_GB2312" w:eastAsia="仿宋_GB2312" w:hAnsi="微软雅黑" w:cs="宋体" w:hint="eastAsia"/>
          <w:color w:val="333333"/>
          <w:kern w:val="0"/>
          <w:sz w:val="32"/>
          <w:szCs w:val="32"/>
        </w:rPr>
        <w:t>指在基本支出之外为完成特定行政任务和事业发展目标所发生的支出。</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b/>
          <w:bCs/>
          <w:color w:val="333333"/>
          <w:kern w:val="0"/>
          <w:sz w:val="32"/>
        </w:rPr>
        <w:t>4.机关运行经费：</w:t>
      </w:r>
      <w:r w:rsidRPr="002A287C">
        <w:rPr>
          <w:rFonts w:ascii="仿宋_GB2312" w:eastAsia="仿宋_GB2312" w:hAnsi="微软雅黑" w:cs="宋体" w:hint="eastAsia"/>
          <w:color w:val="333333"/>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b/>
          <w:bCs/>
          <w:color w:val="333333"/>
          <w:kern w:val="0"/>
          <w:sz w:val="32"/>
        </w:rPr>
        <w:t>5.行政事业性收费收入：</w:t>
      </w:r>
      <w:r w:rsidRPr="002A287C">
        <w:rPr>
          <w:rFonts w:ascii="仿宋_GB2312" w:eastAsia="仿宋_GB2312" w:hAnsi="微软雅黑" w:cs="宋体" w:hint="eastAsia"/>
          <w:color w:val="333333"/>
          <w:kern w:val="0"/>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bookmarkStart w:id="0" w:name="OLE_LINK1"/>
      <w:bookmarkEnd w:id="0"/>
      <w:r w:rsidRPr="002A287C">
        <w:rPr>
          <w:rFonts w:ascii="仿宋_GB2312" w:eastAsia="仿宋_GB2312" w:hAnsi="微软雅黑" w:cs="宋体" w:hint="eastAsia"/>
          <w:b/>
          <w:bCs/>
          <w:color w:val="333333"/>
          <w:kern w:val="0"/>
          <w:sz w:val="32"/>
        </w:rPr>
        <w:t>6.政府性基金收入：</w:t>
      </w:r>
      <w:r w:rsidRPr="002A287C">
        <w:rPr>
          <w:rFonts w:ascii="仿宋_GB2312" w:eastAsia="仿宋_GB2312" w:hAnsi="微软雅黑" w:cs="宋体" w:hint="eastAsia"/>
          <w:color w:val="333333"/>
          <w:kern w:val="0"/>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2A287C" w:rsidRPr="002A287C" w:rsidRDefault="002A287C" w:rsidP="002A287C">
      <w:pPr>
        <w:widowControl/>
        <w:shd w:val="clear" w:color="auto" w:fill="FFFFFF"/>
        <w:spacing w:line="480" w:lineRule="auto"/>
        <w:ind w:firstLine="645"/>
        <w:jc w:val="left"/>
        <w:rPr>
          <w:rFonts w:ascii="微软雅黑" w:eastAsia="微软雅黑" w:hAnsi="微软雅黑" w:cs="宋体" w:hint="eastAsia"/>
          <w:color w:val="333333"/>
          <w:kern w:val="0"/>
          <w:sz w:val="24"/>
          <w:szCs w:val="24"/>
        </w:rPr>
      </w:pPr>
      <w:r w:rsidRPr="002A287C">
        <w:rPr>
          <w:rFonts w:ascii="仿宋_GB2312" w:eastAsia="仿宋_GB2312" w:hAnsi="微软雅黑" w:cs="宋体" w:hint="eastAsia"/>
          <w:b/>
          <w:bCs/>
          <w:color w:val="333333"/>
          <w:kern w:val="0"/>
          <w:sz w:val="32"/>
        </w:rPr>
        <w:lastRenderedPageBreak/>
        <w:t>7.其他收入：</w:t>
      </w:r>
      <w:r w:rsidRPr="002A287C">
        <w:rPr>
          <w:rFonts w:ascii="仿宋_GB2312" w:eastAsia="仿宋_GB2312" w:hAnsi="微软雅黑" w:cs="宋体" w:hint="eastAsia"/>
          <w:color w:val="333333"/>
          <w:kern w:val="0"/>
          <w:sz w:val="32"/>
          <w:szCs w:val="32"/>
        </w:rPr>
        <w:t>指除上述“财政拨款收入”、“行政事业性收费收入”、“政府性基金收入”以外的收入。</w:t>
      </w:r>
    </w:p>
    <w:p w:rsidR="002A287C" w:rsidRPr="002A287C" w:rsidRDefault="002A287C" w:rsidP="002A287C">
      <w:pPr>
        <w:widowControl/>
        <w:shd w:val="clear" w:color="auto" w:fill="FFFFFF"/>
        <w:spacing w:line="480" w:lineRule="auto"/>
        <w:jc w:val="left"/>
        <w:rPr>
          <w:rFonts w:ascii="微软雅黑" w:eastAsia="微软雅黑" w:hAnsi="微软雅黑" w:cs="宋体" w:hint="eastAsia"/>
          <w:color w:val="333333"/>
          <w:kern w:val="0"/>
          <w:sz w:val="24"/>
          <w:szCs w:val="24"/>
        </w:rPr>
      </w:pPr>
    </w:p>
    <w:p w:rsidR="002A287C" w:rsidRPr="002A287C" w:rsidRDefault="002A287C" w:rsidP="002A287C">
      <w:pPr>
        <w:widowControl/>
        <w:jc w:val="left"/>
        <w:rPr>
          <w:rFonts w:ascii="宋体" w:eastAsia="宋体" w:hAnsi="宋体" w:cs="宋体"/>
          <w:kern w:val="0"/>
          <w:sz w:val="24"/>
          <w:szCs w:val="24"/>
        </w:rPr>
      </w:pPr>
      <w:r w:rsidRPr="002A287C">
        <w:rPr>
          <w:rFonts w:ascii="宋体" w:eastAsia="宋体" w:hAnsi="宋体" w:cs="宋体"/>
          <w:kern w:val="0"/>
          <w:sz w:val="24"/>
          <w:szCs w:val="24"/>
        </w:rPr>
        <w:t>   </w:t>
      </w:r>
      <w:hyperlink r:id="rId6" w:tgtFrame="_blank" w:history="1">
        <w:r w:rsidRPr="002A287C">
          <w:rPr>
            <w:rFonts w:ascii="宋体" w:eastAsia="宋体" w:hAnsi="宋体" w:cs="宋体"/>
            <w:color w:val="FFFFFF"/>
            <w:kern w:val="0"/>
            <w:sz w:val="24"/>
            <w:szCs w:val="24"/>
            <w:u w:val="single"/>
          </w:rPr>
          <w:t>辽公网安备 21050202000065 号</w:t>
        </w:r>
      </w:hyperlink>
    </w:p>
    <w:p w:rsidR="006920AB" w:rsidRDefault="006920AB"/>
    <w:sectPr w:rsidR="006920AB" w:rsidSect="006920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287C"/>
    <w:rsid w:val="002A287C"/>
    <w:rsid w:val="00692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0AB"/>
    <w:pPr>
      <w:widowControl w:val="0"/>
      <w:jc w:val="both"/>
    </w:pPr>
  </w:style>
  <w:style w:type="paragraph" w:styleId="3">
    <w:name w:val="heading 3"/>
    <w:basedOn w:val="a"/>
    <w:link w:val="3Char"/>
    <w:uiPriority w:val="9"/>
    <w:qFormat/>
    <w:rsid w:val="002A287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A287C"/>
    <w:rPr>
      <w:rFonts w:ascii="宋体" w:eastAsia="宋体" w:hAnsi="宋体" w:cs="宋体"/>
      <w:b/>
      <w:bCs/>
      <w:kern w:val="0"/>
      <w:sz w:val="27"/>
      <w:szCs w:val="27"/>
    </w:rPr>
  </w:style>
  <w:style w:type="paragraph" w:styleId="a3">
    <w:name w:val="Normal (Web)"/>
    <w:basedOn w:val="a"/>
    <w:uiPriority w:val="99"/>
    <w:semiHidden/>
    <w:unhideWhenUsed/>
    <w:rsid w:val="002A28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287C"/>
    <w:rPr>
      <w:b/>
      <w:bCs/>
    </w:rPr>
  </w:style>
  <w:style w:type="character" w:customStyle="1" w:styleId="apple-converted-space">
    <w:name w:val="apple-converted-space"/>
    <w:basedOn w:val="a0"/>
    <w:rsid w:val="002A287C"/>
  </w:style>
  <w:style w:type="character" w:styleId="a5">
    <w:name w:val="Hyperlink"/>
    <w:basedOn w:val="a0"/>
    <w:uiPriority w:val="99"/>
    <w:semiHidden/>
    <w:unhideWhenUsed/>
    <w:rsid w:val="002A287C"/>
    <w:rPr>
      <w:color w:val="0000FF"/>
      <w:u w:val="single"/>
    </w:rPr>
  </w:style>
  <w:style w:type="paragraph" w:styleId="a6">
    <w:name w:val="Balloon Text"/>
    <w:basedOn w:val="a"/>
    <w:link w:val="Char"/>
    <w:uiPriority w:val="99"/>
    <w:semiHidden/>
    <w:unhideWhenUsed/>
    <w:rsid w:val="002A287C"/>
    <w:rPr>
      <w:sz w:val="18"/>
      <w:szCs w:val="18"/>
    </w:rPr>
  </w:style>
  <w:style w:type="character" w:customStyle="1" w:styleId="Char">
    <w:name w:val="批注框文本 Char"/>
    <w:basedOn w:val="a0"/>
    <w:link w:val="a6"/>
    <w:uiPriority w:val="99"/>
    <w:semiHidden/>
    <w:rsid w:val="002A287C"/>
    <w:rPr>
      <w:sz w:val="18"/>
      <w:szCs w:val="18"/>
    </w:rPr>
  </w:style>
</w:styles>
</file>

<file path=word/webSettings.xml><?xml version="1.0" encoding="utf-8"?>
<w:webSettings xmlns:r="http://schemas.openxmlformats.org/officeDocument/2006/relationships" xmlns:w="http://schemas.openxmlformats.org/wordprocessingml/2006/main">
  <w:divs>
    <w:div w:id="1186675519">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0"/>
          <w:marRight w:val="0"/>
          <w:marTop w:val="0"/>
          <w:marBottom w:val="300"/>
          <w:divBdr>
            <w:top w:val="none" w:sz="0" w:space="0" w:color="auto"/>
            <w:left w:val="none" w:sz="0" w:space="0" w:color="auto"/>
            <w:bottom w:val="none" w:sz="0" w:space="0" w:color="auto"/>
            <w:right w:val="none" w:sz="0" w:space="0" w:color="auto"/>
          </w:divBdr>
          <w:divsChild>
            <w:div w:id="724839376">
              <w:marLeft w:val="0"/>
              <w:marRight w:val="0"/>
              <w:marTop w:val="0"/>
              <w:marBottom w:val="0"/>
              <w:divBdr>
                <w:top w:val="none" w:sz="0" w:space="0" w:color="auto"/>
                <w:left w:val="none" w:sz="0" w:space="0" w:color="auto"/>
                <w:bottom w:val="none" w:sz="0" w:space="0" w:color="auto"/>
                <w:right w:val="none" w:sz="0" w:space="0" w:color="auto"/>
              </w:divBdr>
              <w:divsChild>
                <w:div w:id="1318414684">
                  <w:marLeft w:val="0"/>
                  <w:marRight w:val="0"/>
                  <w:marTop w:val="0"/>
                  <w:marBottom w:val="0"/>
                  <w:divBdr>
                    <w:top w:val="none" w:sz="0" w:space="0" w:color="auto"/>
                    <w:left w:val="none" w:sz="0" w:space="0" w:color="auto"/>
                    <w:bottom w:val="none" w:sz="0" w:space="0" w:color="auto"/>
                    <w:right w:val="none" w:sz="0" w:space="0" w:color="auto"/>
                  </w:divBdr>
                  <w:divsChild>
                    <w:div w:id="1777553956">
                      <w:marLeft w:val="0"/>
                      <w:marRight w:val="0"/>
                      <w:marTop w:val="0"/>
                      <w:marBottom w:val="0"/>
                      <w:divBdr>
                        <w:top w:val="none" w:sz="0" w:space="0" w:color="auto"/>
                        <w:left w:val="none" w:sz="0" w:space="0" w:color="auto"/>
                        <w:bottom w:val="none" w:sz="0" w:space="0" w:color="auto"/>
                        <w:right w:val="none" w:sz="0" w:space="0" w:color="auto"/>
                      </w:divBdr>
                    </w:div>
                  </w:divsChild>
                </w:div>
                <w:div w:id="3844495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13701167">
          <w:marLeft w:val="0"/>
          <w:marRight w:val="0"/>
          <w:marTop w:val="0"/>
          <w:marBottom w:val="0"/>
          <w:divBdr>
            <w:top w:val="none" w:sz="0" w:space="0" w:color="auto"/>
            <w:left w:val="none" w:sz="0" w:space="0" w:color="auto"/>
            <w:bottom w:val="none" w:sz="0" w:space="0" w:color="auto"/>
            <w:right w:val="none" w:sz="0" w:space="0" w:color="auto"/>
          </w:divBdr>
          <w:divsChild>
            <w:div w:id="1730374747">
              <w:marLeft w:val="0"/>
              <w:marRight w:val="0"/>
              <w:marTop w:val="0"/>
              <w:marBottom w:val="0"/>
              <w:divBdr>
                <w:top w:val="none" w:sz="0" w:space="0" w:color="auto"/>
                <w:left w:val="none" w:sz="0" w:space="0" w:color="auto"/>
                <w:bottom w:val="none" w:sz="0" w:space="0" w:color="auto"/>
                <w:right w:val="none" w:sz="0" w:space="0" w:color="auto"/>
              </w:divBdr>
            </w:div>
            <w:div w:id="2009596837">
              <w:marLeft w:val="0"/>
              <w:marRight w:val="0"/>
              <w:marTop w:val="0"/>
              <w:marBottom w:val="0"/>
              <w:divBdr>
                <w:top w:val="none" w:sz="0" w:space="0" w:color="auto"/>
                <w:left w:val="none" w:sz="0" w:space="0" w:color="auto"/>
                <w:bottom w:val="none" w:sz="0" w:space="0" w:color="auto"/>
                <w:right w:val="none" w:sz="0" w:space="0" w:color="auto"/>
              </w:divBdr>
            </w:div>
            <w:div w:id="16023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ian.gov.cn/portal/registerSystemInfo?recordcode=21050202000065" TargetMode="External"/><Relationship Id="rId5" Type="http://schemas.openxmlformats.org/officeDocument/2006/relationships/hyperlink" Target="http://www.pingshan.gov.cn/Upload/ps/InfoPublicity/PublicInformation/File/2019/10/23/2019%E5%B9%B4%E5%B9%B3%E5%B1%B1%E5%8C%BA%E5%86%9C%E5%8F%91%E5%B1%80%E9%83%A8%E9%97%A8%E9%A2%84%E7%AE%97.xls"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2021-05-28T05:24:00Z</dcterms:created>
  <dcterms:modified xsi:type="dcterms:W3CDTF">2021-05-28T05:26:00Z</dcterms:modified>
</cp:coreProperties>
</file>